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B7637" w:rsidRDefault="007B7637" w:rsidP="007B7637">
      <w:pPr>
        <w:jc w:val="center"/>
        <w:rPr>
          <w:rFonts w:ascii="Times New Roman" w:hAnsi="Times New Roman" w:cs="Times New Roman"/>
          <w:b/>
          <w:color w:val="000000"/>
          <w:sz w:val="24"/>
          <w:szCs w:val="24"/>
          <w:lang w:eastAsia="bg-BG"/>
        </w:rPr>
      </w:pPr>
      <w:r>
        <w:rPr>
          <w:rFonts w:ascii="Times New Roman" w:hAnsi="Times New Roman" w:cs="Times New Roman"/>
          <w:b/>
          <w:sz w:val="24"/>
          <w:szCs w:val="24"/>
        </w:rPr>
        <w:t>ТЕХНИЧЕСКИ СПЕЦИФИКАЦИИ ЗА ОБЩЕСТВЕНА ПОРЪЧКА С ПРЕДМЕТ:</w:t>
      </w:r>
      <w:r w:rsidR="000E71CB">
        <w:rPr>
          <w:rFonts w:ascii="Times New Roman" w:hAnsi="Times New Roman" w:cs="Times New Roman"/>
          <w:b/>
          <w:sz w:val="24"/>
          <w:szCs w:val="24"/>
        </w:rPr>
        <w:t xml:space="preserve"> </w:t>
      </w:r>
      <w:r w:rsidRPr="007B7637">
        <w:rPr>
          <w:rFonts w:ascii="Times New Roman" w:hAnsi="Times New Roman" w:cs="Times New Roman"/>
          <w:b/>
          <w:color w:val="000000"/>
          <w:sz w:val="24"/>
          <w:szCs w:val="24"/>
          <w:lang w:eastAsia="bg-BG"/>
        </w:rPr>
        <w:t xml:space="preserve">„Упражняване на строителен надзор </w:t>
      </w:r>
      <w:r w:rsidRPr="007B7637">
        <w:rPr>
          <w:rFonts w:ascii="Times New Roman" w:eastAsia="Batang" w:hAnsi="Times New Roman" w:cs="Times New Roman"/>
          <w:b/>
          <w:sz w:val="24"/>
          <w:szCs w:val="24"/>
        </w:rPr>
        <w:t xml:space="preserve">за обект: </w:t>
      </w:r>
      <w:r w:rsidRPr="007B7637">
        <w:rPr>
          <w:rFonts w:ascii="Times New Roman" w:hAnsi="Times New Roman" w:cs="Times New Roman"/>
          <w:b/>
          <w:color w:val="000000"/>
          <w:sz w:val="24"/>
          <w:szCs w:val="24"/>
          <w:lang w:eastAsia="bg-BG"/>
        </w:rPr>
        <w:t>„Изграждане и оборудване на комбинирано спортно игрище, разположено в парк „Димана Данева“ в гр. Харманли“</w:t>
      </w:r>
    </w:p>
    <w:p w:rsidR="00FA6DAD" w:rsidRPr="007B7637" w:rsidRDefault="00FA6DAD" w:rsidP="007B7637">
      <w:pPr>
        <w:jc w:val="center"/>
        <w:rPr>
          <w:rFonts w:ascii="Times New Roman" w:hAnsi="Times New Roman" w:cs="Times New Roman"/>
          <w:b/>
          <w:sz w:val="24"/>
          <w:szCs w:val="24"/>
        </w:rPr>
      </w:pPr>
      <w:bookmarkStart w:id="0" w:name="_GoBack"/>
      <w:bookmarkEnd w:id="0"/>
    </w:p>
    <w:p w:rsidR="007B7637" w:rsidRDefault="007B7637" w:rsidP="007B7637">
      <w:pPr>
        <w:pStyle w:val="11"/>
        <w:numPr>
          <w:ilvl w:val="0"/>
          <w:numId w:val="1"/>
        </w:numPr>
        <w:tabs>
          <w:tab w:val="left" w:pos="0"/>
        </w:tabs>
        <w:spacing w:before="0"/>
        <w:ind w:left="0" w:right="0" w:firstLine="720"/>
        <w:outlineLvl w:val="9"/>
      </w:pPr>
      <w:r>
        <w:t>Упражняването на строителния надзор ще бъде в обем и обхват, съгласно изискванията на ЗУТ и съответните подзаконови нормативни актове, като се изпълняват най-малко следните</w:t>
      </w:r>
      <w:r>
        <w:rPr>
          <w:spacing w:val="-3"/>
        </w:rPr>
        <w:t xml:space="preserve"> </w:t>
      </w:r>
      <w:r>
        <w:t>дейности:</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Лицето, упражняващо строителен надзор, носи отговорност за законосъобразно започване на</w:t>
      </w:r>
      <w:r w:rsidRPr="00556E3E">
        <w:rPr>
          <w:spacing w:val="-3"/>
          <w:lang w:val="bg-BG"/>
        </w:rPr>
        <w:t xml:space="preserve"> </w:t>
      </w:r>
      <w:r w:rsidRPr="00556E3E">
        <w:rPr>
          <w:lang w:val="bg-BG"/>
        </w:rPr>
        <w:t>строежа;</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Упражняване на непрекъснат строителен надзор върху изпълнението на СМР, съгласно техническите проекти и изискванията на нормативните</w:t>
      </w:r>
      <w:r w:rsidRPr="00556E3E">
        <w:rPr>
          <w:spacing w:val="-7"/>
          <w:lang w:val="bg-BG"/>
        </w:rPr>
        <w:t xml:space="preserve"> </w:t>
      </w:r>
      <w:r w:rsidRPr="00556E3E">
        <w:rPr>
          <w:lang w:val="bg-BG"/>
        </w:rPr>
        <w:t>актове;</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Проверка на изпълнените СМР по количества и цени и подписване на протоколи за приемане на изпълнените СМР, изготвени от Изпълнителя (бивш акт</w:t>
      </w:r>
      <w:r w:rsidRPr="00556E3E">
        <w:rPr>
          <w:spacing w:val="-14"/>
          <w:lang w:val="bg-BG"/>
        </w:rPr>
        <w:t xml:space="preserve"> </w:t>
      </w:r>
      <w:r w:rsidRPr="00556E3E">
        <w:rPr>
          <w:lang w:val="bg-BG"/>
        </w:rPr>
        <w:t>обр. 19);</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Осигуряване пълнота и правилно съставяне на актовете и протоколите по време</w:t>
      </w:r>
      <w:r w:rsidRPr="00556E3E">
        <w:rPr>
          <w:spacing w:val="13"/>
          <w:lang w:val="bg-BG"/>
        </w:rPr>
        <w:t xml:space="preserve"> </w:t>
      </w:r>
      <w:r w:rsidRPr="00556E3E">
        <w:rPr>
          <w:lang w:val="bg-BG"/>
        </w:rPr>
        <w:t>на строителството, съставянето на актовете и протоколите, в съответствие с изискванията на Наредба № 3 (ДВ, бр. 72/2003), по време на строително-монтажните дейности;</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Осъществява контрол относно спазване на изискванията за здравословни и безопасни условия на труд в строителството, съобразно Закона за здравословни и безопасни условия на труд (ЗБУТ) и наредбите към него (ДВ, бр. 37 от 2004</w:t>
      </w:r>
      <w:r w:rsidRPr="00556E3E">
        <w:rPr>
          <w:spacing w:val="-1"/>
          <w:lang w:val="bg-BG"/>
        </w:rPr>
        <w:t xml:space="preserve"> </w:t>
      </w:r>
      <w:r w:rsidRPr="00556E3E">
        <w:rPr>
          <w:lang w:val="bg-BG"/>
        </w:rPr>
        <w:t>г.);</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 xml:space="preserve"> Контрол по опазване на околната среда по време на изпълнение на строително- монтажните дейности, в съответствие със Закона за опазване на околната среда (ЗООС) и Закона за управление на отпадъците и наредбите към</w:t>
      </w:r>
      <w:r w:rsidRPr="00556E3E">
        <w:rPr>
          <w:spacing w:val="-9"/>
          <w:lang w:val="bg-BG"/>
        </w:rPr>
        <w:t xml:space="preserve"> </w:t>
      </w:r>
      <w:r w:rsidRPr="00556E3E">
        <w:rPr>
          <w:lang w:val="bg-BG"/>
        </w:rPr>
        <w:t>тях;</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 xml:space="preserve">Контрол върху съответствието на влаганите материали и продукти, съгласно изискванията </w:t>
      </w:r>
      <w:r w:rsidRPr="00556E3E">
        <w:rPr>
          <w:bCs/>
          <w:lang w:val="bg-BG"/>
        </w:rPr>
        <w:t>Наредба № РД-02-20-1 от 5 февруари 2015 г. за условията и реда за влагане на строителни продукти в строежите на Република България на МРРБ, ДВ бр.14/20.02.2015г.</w:t>
      </w:r>
      <w:r w:rsidRPr="00556E3E">
        <w:rPr>
          <w:lang w:val="bg-BG"/>
        </w:rPr>
        <w:t>. В тази връзка Извършва контролни проверки по чл. 169б от ЗУТ, на доставените на строежа строителни продукти (вкл. продукти, които представляват система от компоненти), които се влагат в строежи, за да се осигури спазването на изискването на чл. 169а, ал. 1 от ЗУТ, вкл. извършва проверки за съответствие на: техническите показатели на доставените строителни продукти с данните в представените от строителя сертификати и протоколи от изпитвания, със заложените в инвестиционния проект във фаза технически проект технически показатели, както и с техническата документация за продуктите от офертата на строителя и от одобрената подробна количествено-стойностна сметка за съответния</w:t>
      </w:r>
      <w:r w:rsidRPr="00556E3E">
        <w:rPr>
          <w:spacing w:val="-4"/>
          <w:lang w:val="bg-BG"/>
        </w:rPr>
        <w:t xml:space="preserve"> </w:t>
      </w:r>
      <w:r w:rsidRPr="00556E3E">
        <w:rPr>
          <w:lang w:val="bg-BG"/>
        </w:rPr>
        <w:t>строеж;</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Недопускане на увреждане на трети лица и имоти в следствие на</w:t>
      </w:r>
      <w:r w:rsidRPr="00556E3E">
        <w:rPr>
          <w:spacing w:val="-13"/>
          <w:lang w:val="bg-BG"/>
        </w:rPr>
        <w:t xml:space="preserve"> </w:t>
      </w:r>
      <w:r w:rsidRPr="00556E3E">
        <w:rPr>
          <w:lang w:val="bg-BG"/>
        </w:rPr>
        <w:t xml:space="preserve">строителството. Консултантът </w:t>
      </w:r>
      <w:r w:rsidRPr="00556E3E">
        <w:rPr>
          <w:color w:val="000000"/>
          <w:lang w:val="bg-BG"/>
        </w:rPr>
        <w:t xml:space="preserve">носи отговорност за щети, които е нанесъл на </w:t>
      </w:r>
      <w:r w:rsidRPr="00556E3E">
        <w:rPr>
          <w:color w:val="000000"/>
          <w:lang w:val="bg-BG"/>
        </w:rPr>
        <w:lastRenderedPageBreak/>
        <w:t>възложителя и на другите участници в строителството, и солидарна отговорност със строителя за щети, причинени от неспазване на техническите правила и нормативи и одобрените проекти. Отговорността по договора за строителен надзор е със срокове не по-малки от гаранционните срокове в строителството</w:t>
      </w:r>
      <w:r w:rsidRPr="00556E3E">
        <w:rPr>
          <w:lang w:val="bg-BG"/>
        </w:rPr>
        <w:t>;</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 xml:space="preserve"> Осигуряване необходимата организация за ефективна надзорна дейност и комуникацията в и на своя екип по отношение законосъобразното започване на строежите, проверките свързани с изпълнението на строежите съобразно одобрените инвестиционни проекти и изискванията по чл. 169, ал. 1 и 3</w:t>
      </w:r>
      <w:r w:rsidRPr="00556E3E">
        <w:rPr>
          <w:spacing w:val="-10"/>
          <w:lang w:val="bg-BG"/>
        </w:rPr>
        <w:t xml:space="preserve"> </w:t>
      </w:r>
      <w:r w:rsidRPr="00556E3E">
        <w:rPr>
          <w:lang w:val="bg-BG"/>
        </w:rPr>
        <w:t>ЗУТ;</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По време на изпълнение на строителните и монтажни работи осигурява постоянно присъствие на експертите от своя екип по всички проектни части, които са необходими за изпълнението на</w:t>
      </w:r>
      <w:r w:rsidRPr="00556E3E">
        <w:rPr>
          <w:spacing w:val="-6"/>
          <w:lang w:val="bg-BG"/>
        </w:rPr>
        <w:t xml:space="preserve"> </w:t>
      </w:r>
      <w:r w:rsidRPr="00556E3E">
        <w:rPr>
          <w:lang w:val="bg-BG"/>
        </w:rPr>
        <w:t>договора;</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color w:val="000000"/>
          <w:lang w:val="bg-BG"/>
        </w:rPr>
        <w:t>Подписва всички актове и протоколи по време на строителството, необходими за оценка на строежите, относно изискванията за безопасност и за законосъобразно изпълнение, съгласно наредба на министъра на регионалното развитие и благоустройството за актовете и протоколите, съставяни по време на строителството</w:t>
      </w:r>
      <w:r w:rsidRPr="00556E3E">
        <w:rPr>
          <w:lang w:val="bg-BG"/>
        </w:rPr>
        <w:t>;</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Координира строителния процес до въвеждането на строежа в експлоатация, включително контрол на количествата, качеството и съответствието на изпълняваните строителни и монтажни работи с договорите за изпълнение на строителството;</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Присъства на всички заседания между участниците в инвестиционния процес, независимо по чие искане или работен план-график се провеждат, като всеки път докладва за основните дейности (видове работи) от строежа, за които до този момент е упражнен текущ строителен надзор по строителството, съставените документи (актове), както и за възникнали проблеми (ако има такива) и съответно необходимите мерки за решаването</w:t>
      </w:r>
      <w:r w:rsidRPr="00556E3E">
        <w:rPr>
          <w:spacing w:val="-2"/>
          <w:lang w:val="bg-BG"/>
        </w:rPr>
        <w:t xml:space="preserve"> </w:t>
      </w:r>
      <w:r w:rsidRPr="00556E3E">
        <w:rPr>
          <w:lang w:val="bg-BG"/>
        </w:rPr>
        <w:t>им;</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Контролира задължителното изпълнение на заповедите на проектанта на строежа, вписани в заповедната книга на строежа, свързани с авторското му право и недопуска действия от страна на строителя, които биха довели до неспазване на изработения от проектанта, съгласуван и одобрен инвестиционния проект на всеки един строеж поотделно;</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Взема решения за спиране и пускане на строежа, съгласувано с Възложителя</w:t>
      </w:r>
      <w:r w:rsidRPr="00556E3E">
        <w:rPr>
          <w:spacing w:val="-8"/>
          <w:lang w:val="bg-BG"/>
        </w:rPr>
        <w:t xml:space="preserve"> </w:t>
      </w:r>
      <w:r w:rsidRPr="00556E3E">
        <w:rPr>
          <w:lang w:val="bg-BG"/>
        </w:rPr>
        <w:t>и спиране на строежи, които се изпълняват при условията на чл. 224, ал. 1 и чл. 225, ал. 2 и в нарушение на изискванията на чл. 169, ал. 1 и 3 от ЗУТ;</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В рамките на 2 (два) работни дни изпълнителят изготвя писмено констатации, които представя на Възложителя, ако възникне необходимост от промени във видовете работи на съответния обект, във връзка с обстоятелства, които не са могли да бъдат предвидени по време на процеса на проектиране, но задължително преди тези промени да са извършени от строителя. Констатациите включват подробно описание на причините и необходимостта от възникналите промени, приложение към основния файл с констатации, съдържащо доказателствен снимков материал – монтаж върху хартиен носител на местата, където са установени</w:t>
      </w:r>
      <w:r w:rsidRPr="00556E3E">
        <w:rPr>
          <w:spacing w:val="-6"/>
          <w:lang w:val="bg-BG"/>
        </w:rPr>
        <w:t xml:space="preserve"> </w:t>
      </w:r>
      <w:r w:rsidRPr="00556E3E">
        <w:rPr>
          <w:lang w:val="bg-BG"/>
        </w:rPr>
        <w:t>проблемите;</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lastRenderedPageBreak/>
        <w:t>Изготвяне оценка за съответствие за преработка на инвестиционния проект по смисъла на чл. 154 от ЗУТ и съгласува екзекутивна документация на строежа, след фактическото му завършване, изпълнителят заверява екзекутивната документация заедно с останалите участници в</w:t>
      </w:r>
      <w:r w:rsidRPr="00556E3E">
        <w:rPr>
          <w:spacing w:val="-5"/>
          <w:lang w:val="bg-BG"/>
        </w:rPr>
        <w:t xml:space="preserve"> </w:t>
      </w:r>
      <w:r w:rsidRPr="00556E3E">
        <w:rPr>
          <w:lang w:val="bg-BG"/>
        </w:rPr>
        <w:t>строителството;</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Внасяне на екзекутивната документация за безсрочно съхранение на органа, издал разрешението за строеж и в Агенцията по геодезия, картография и кадастър, в необходимия</w:t>
      </w:r>
      <w:r w:rsidRPr="00556E3E">
        <w:rPr>
          <w:spacing w:val="-13"/>
          <w:lang w:val="bg-BG"/>
        </w:rPr>
        <w:t xml:space="preserve"> </w:t>
      </w:r>
      <w:r w:rsidRPr="00556E3E">
        <w:rPr>
          <w:lang w:val="bg-BG"/>
        </w:rPr>
        <w:t>обем;</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Съставяне на констативни актове, след завършване на строително-монтажните работи, съвместно с</w:t>
      </w:r>
      <w:r w:rsidRPr="00556E3E">
        <w:rPr>
          <w:spacing w:val="16"/>
          <w:lang w:val="bg-BG"/>
        </w:rPr>
        <w:t xml:space="preserve"> </w:t>
      </w:r>
      <w:r w:rsidRPr="00556E3E">
        <w:rPr>
          <w:lang w:val="bg-BG"/>
        </w:rPr>
        <w:t>Възложителя</w:t>
      </w:r>
      <w:r w:rsidRPr="00556E3E">
        <w:rPr>
          <w:spacing w:val="16"/>
          <w:lang w:val="bg-BG"/>
        </w:rPr>
        <w:t xml:space="preserve"> </w:t>
      </w:r>
      <w:r w:rsidRPr="00556E3E">
        <w:rPr>
          <w:lang w:val="bg-BG"/>
        </w:rPr>
        <w:t>и</w:t>
      </w:r>
      <w:r w:rsidRPr="00556E3E">
        <w:rPr>
          <w:spacing w:val="15"/>
          <w:lang w:val="bg-BG"/>
        </w:rPr>
        <w:t xml:space="preserve"> </w:t>
      </w:r>
      <w:r w:rsidRPr="00556E3E">
        <w:rPr>
          <w:lang w:val="bg-BG"/>
        </w:rPr>
        <w:t>Изпълнителите на проектирането</w:t>
      </w:r>
      <w:r w:rsidRPr="00556E3E">
        <w:rPr>
          <w:spacing w:val="15"/>
          <w:lang w:val="bg-BG"/>
        </w:rPr>
        <w:t xml:space="preserve"> </w:t>
      </w:r>
      <w:r w:rsidRPr="00556E3E">
        <w:rPr>
          <w:lang w:val="bg-BG"/>
        </w:rPr>
        <w:t>и строително-монтажните дейности, с</w:t>
      </w:r>
      <w:r w:rsidRPr="00556E3E">
        <w:rPr>
          <w:spacing w:val="16"/>
          <w:lang w:val="bg-BG"/>
        </w:rPr>
        <w:t xml:space="preserve"> </w:t>
      </w:r>
      <w:r w:rsidRPr="00556E3E">
        <w:rPr>
          <w:lang w:val="bg-BG"/>
        </w:rPr>
        <w:t>които</w:t>
      </w:r>
      <w:r w:rsidRPr="00556E3E">
        <w:rPr>
          <w:spacing w:val="20"/>
          <w:lang w:val="bg-BG"/>
        </w:rPr>
        <w:t xml:space="preserve"> </w:t>
      </w:r>
      <w:r w:rsidRPr="00556E3E">
        <w:rPr>
          <w:lang w:val="bg-BG"/>
        </w:rPr>
        <w:t>удостоверява, че строежът</w:t>
      </w:r>
      <w:r w:rsidRPr="00556E3E">
        <w:rPr>
          <w:spacing w:val="17"/>
          <w:lang w:val="bg-BG"/>
        </w:rPr>
        <w:t xml:space="preserve"> </w:t>
      </w:r>
      <w:r w:rsidRPr="00556E3E">
        <w:rPr>
          <w:lang w:val="bg-BG"/>
        </w:rPr>
        <w:t>е</w:t>
      </w:r>
      <w:r w:rsidRPr="00556E3E">
        <w:rPr>
          <w:spacing w:val="18"/>
          <w:lang w:val="bg-BG"/>
        </w:rPr>
        <w:t xml:space="preserve"> </w:t>
      </w:r>
      <w:r w:rsidRPr="00556E3E">
        <w:rPr>
          <w:lang w:val="bg-BG"/>
        </w:rPr>
        <w:t>изпълнен съобразно одобрените проекти, заверената екзекутивна документация, изискванията към строежа и условията на сключения договор. С този акт се извършва предаване на строежите от Изпълнителя на строително- монтажните дейности на</w:t>
      </w:r>
      <w:r w:rsidRPr="00556E3E">
        <w:rPr>
          <w:spacing w:val="-13"/>
          <w:lang w:val="bg-BG"/>
        </w:rPr>
        <w:t xml:space="preserve"> </w:t>
      </w:r>
      <w:r w:rsidRPr="00556E3E">
        <w:rPr>
          <w:lang w:val="bg-BG"/>
        </w:rPr>
        <w:t>Възложителя;</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Съдействие на Възложителя, след завършването на строително-монтажните работи и приключване на приемните изпитвания, да направи (регистрира) искане за въвеждането на обектите в експлоатация, като се представят окончателни доклади и други, съгласно изискванията на</w:t>
      </w:r>
      <w:r w:rsidRPr="00556E3E">
        <w:rPr>
          <w:spacing w:val="-2"/>
          <w:lang w:val="bg-BG"/>
        </w:rPr>
        <w:t xml:space="preserve"> </w:t>
      </w:r>
      <w:r w:rsidRPr="00556E3E">
        <w:rPr>
          <w:lang w:val="bg-BG"/>
        </w:rPr>
        <w:t>ЗУТ;</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color w:val="000000"/>
          <w:lang w:val="bg-BG"/>
        </w:rPr>
        <w:t xml:space="preserve">Предписанията и заповедите на лицето, упражняващо строителен надзор, вписани в заповедната книга, са задължителни за строителя, възложителя и техническия ръководител на строежа. Възражения срещу предписанията на лицето, упражняващо строителния надзор, могат да се правят в 3-дневен срок пред органите на Дирекцията за национален строителен контрол, като до произнасянето им строителството се спира. След проверка органите на Дирекцията за национален строителен контрол издават задължителни указания. </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color w:val="000000"/>
          <w:lang w:val="bg-BG"/>
        </w:rPr>
        <w:t>При нарушаване на техническите правила и нормативи лицето, упражняващо строителен надзор, е длъжно да уведоми регионалната дирекция за национален строителен контрол в 3-дневен срок от установяване на нарушението.</w:t>
      </w:r>
    </w:p>
    <w:p w:rsidR="007B7637" w:rsidRPr="00556E3E"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Актуализиране и/или изготвяне на нов технически паспорти на строежите, съгласно изискванията на Наредба № 5/28.12.2006 г. Техническият паспорт се предава на Възложителя на хартиен носител в 2 (два) екземпляра, всеки от които е придружен с електронен носител във формат “doc“ и „pdf“, съответстващ на хартиения. Електронното копие се представя на CD</w:t>
      </w:r>
      <w:r w:rsidRPr="00556E3E">
        <w:rPr>
          <w:spacing w:val="-5"/>
          <w:lang w:val="bg-BG"/>
        </w:rPr>
        <w:t xml:space="preserve"> </w:t>
      </w:r>
      <w:r w:rsidRPr="00556E3E">
        <w:rPr>
          <w:lang w:val="bg-BG"/>
        </w:rPr>
        <w:t>носител;</w:t>
      </w:r>
    </w:p>
    <w:p w:rsidR="007B7637" w:rsidRDefault="007B7637" w:rsidP="007B7637">
      <w:pPr>
        <w:pStyle w:val="a3"/>
        <w:widowControl w:val="0"/>
        <w:numPr>
          <w:ilvl w:val="1"/>
          <w:numId w:val="2"/>
        </w:numPr>
        <w:tabs>
          <w:tab w:val="left" w:pos="0"/>
          <w:tab w:val="left" w:pos="822"/>
        </w:tabs>
        <w:autoSpaceDE w:val="0"/>
        <w:autoSpaceDN w:val="0"/>
        <w:spacing w:before="120"/>
        <w:ind w:left="0" w:firstLine="720"/>
        <w:contextualSpacing w:val="0"/>
        <w:jc w:val="both"/>
        <w:rPr>
          <w:lang w:val="bg-BG"/>
        </w:rPr>
      </w:pPr>
      <w:r w:rsidRPr="00556E3E">
        <w:rPr>
          <w:lang w:val="bg-BG"/>
        </w:rPr>
        <w:t>Изготвя окончателен доклад до Възложителя, съгласно изискванията на ЗУТ, след приключване на строителните и монтажни работи. Докладът се представя на хартиен носител в 2 (два) екземпляра, всеки от които е придружен с електронен носител във формат „pdf“ и “doc”, съответстващ на хартиения. Електронното копие на доклада се представя на CD</w:t>
      </w:r>
      <w:r w:rsidRPr="00556E3E">
        <w:rPr>
          <w:spacing w:val="-3"/>
          <w:lang w:val="bg-BG"/>
        </w:rPr>
        <w:t xml:space="preserve"> </w:t>
      </w:r>
      <w:r w:rsidRPr="00556E3E">
        <w:rPr>
          <w:lang w:val="bg-BG"/>
        </w:rPr>
        <w:t>носител.</w:t>
      </w:r>
    </w:p>
    <w:p w:rsidR="000E71CB" w:rsidRDefault="000E71CB" w:rsidP="000E71CB">
      <w:pPr>
        <w:widowControl w:val="0"/>
        <w:tabs>
          <w:tab w:val="left" w:pos="0"/>
          <w:tab w:val="left" w:pos="822"/>
        </w:tabs>
        <w:autoSpaceDE w:val="0"/>
        <w:autoSpaceDN w:val="0"/>
        <w:spacing w:before="120"/>
        <w:jc w:val="both"/>
      </w:pPr>
    </w:p>
    <w:p w:rsidR="000E71CB" w:rsidRDefault="000E71CB" w:rsidP="000E71CB">
      <w:pPr>
        <w:widowControl w:val="0"/>
        <w:tabs>
          <w:tab w:val="left" w:pos="0"/>
          <w:tab w:val="left" w:pos="822"/>
        </w:tabs>
        <w:autoSpaceDE w:val="0"/>
        <w:autoSpaceDN w:val="0"/>
        <w:spacing w:before="120"/>
        <w:jc w:val="both"/>
        <w:rPr>
          <w:rFonts w:ascii="Times New Roman" w:hAnsi="Times New Roman" w:cs="Times New Roman"/>
          <w:sz w:val="24"/>
          <w:szCs w:val="24"/>
        </w:rPr>
      </w:pPr>
      <w:r w:rsidRPr="000E71CB">
        <w:rPr>
          <w:rFonts w:ascii="Times New Roman" w:hAnsi="Times New Roman" w:cs="Times New Roman"/>
          <w:sz w:val="24"/>
          <w:szCs w:val="24"/>
        </w:rPr>
        <w:t xml:space="preserve">Настоящата обществена поръчка се провежда по повод изграждането на комбинирано спортно </w:t>
      </w:r>
      <w:proofErr w:type="spellStart"/>
      <w:r w:rsidRPr="000E71CB">
        <w:rPr>
          <w:rFonts w:ascii="Times New Roman" w:hAnsi="Times New Roman" w:cs="Times New Roman"/>
          <w:sz w:val="24"/>
          <w:szCs w:val="24"/>
        </w:rPr>
        <w:t>изгрище</w:t>
      </w:r>
      <w:proofErr w:type="spellEnd"/>
      <w:r w:rsidRPr="000E71CB">
        <w:rPr>
          <w:rFonts w:ascii="Times New Roman" w:hAnsi="Times New Roman" w:cs="Times New Roman"/>
          <w:sz w:val="24"/>
          <w:szCs w:val="24"/>
        </w:rPr>
        <w:t xml:space="preserve"> в поземлен имот с идентификатор 77181.10.2 на територията на </w:t>
      </w:r>
      <w:r w:rsidRPr="000E71CB">
        <w:rPr>
          <w:rFonts w:ascii="Times New Roman" w:hAnsi="Times New Roman" w:cs="Times New Roman"/>
          <w:sz w:val="24"/>
          <w:szCs w:val="24"/>
        </w:rPr>
        <w:lastRenderedPageBreak/>
        <w:t>област Харманли, община Харманли по кадастралната карта и кадастралните регистри, одобрени със Заповед РД-18-9/23.03.2006г. На изпълнителния директор на АК. Територията е урбанизирана с начин на трайно ползване за спортно игрище. Проектното решение предвижда изграждането на комбинирано игрище в ПИ 77181.10.2, гр. Харманли, Община Харманли. Новопроектираното игрище ще се разположи в стария контур за място за игрище, до съществуващо спортно игрище и прилежащата ограда към него. Предвижда се направа на изкоп, полагане на трамбована баластра, полагане на един слой хидроизолация и армирана бетонова настилка. Настилката на игрището ще бъде акрилна. Между съществуващите стъпала и игрището ще бъде оформена пешеходна зона с настилка от бетонови павета, положени върху пясъчно легло. За оформяне на трибуни ще бъдат използвани съществуващите бетонови стъпала, по които ще бъдат монтирани дървени седалки. Около игрището ще бъде изградена ограда от метална мрежа и метални стълбове, поцинковани с PVC цветно покритие с височина 3м. Предвижда се доставка и монтаж на оборудване на игрището, което включва мобилни стойки за волейбол, волейболна мрежа, две стойки за баскетболен пилон, две баскетболни табла, два баскетболни ринга и мрежи за баскетбол. В зоната на игрището ще бъдат монтирани четири броя кошчета за отпадъци.</w:t>
      </w:r>
    </w:p>
    <w:p w:rsidR="000E71CB" w:rsidRPr="000E71CB" w:rsidRDefault="000E71CB" w:rsidP="000E71CB">
      <w:pPr>
        <w:widowControl w:val="0"/>
        <w:tabs>
          <w:tab w:val="left" w:pos="0"/>
          <w:tab w:val="left" w:pos="822"/>
        </w:tabs>
        <w:autoSpaceDE w:val="0"/>
        <w:autoSpaceDN w:val="0"/>
        <w:spacing w:before="120"/>
        <w:jc w:val="both"/>
        <w:rPr>
          <w:rFonts w:ascii="Times New Roman" w:hAnsi="Times New Roman" w:cs="Times New Roman"/>
          <w:sz w:val="24"/>
          <w:szCs w:val="24"/>
        </w:rPr>
      </w:pPr>
      <w:r>
        <w:rPr>
          <w:rFonts w:ascii="Times New Roman" w:hAnsi="Times New Roman" w:cs="Times New Roman"/>
          <w:sz w:val="24"/>
          <w:szCs w:val="24"/>
        </w:rPr>
        <w:t xml:space="preserve">Неразделна част от настоящите технически спецификации са </w:t>
      </w:r>
      <w:r>
        <w:rPr>
          <w:rFonts w:ascii="Times New Roman" w:eastAsia="Times New Roman" w:hAnsi="Times New Roman"/>
          <w:color w:val="000000"/>
          <w:sz w:val="24"/>
          <w:szCs w:val="24"/>
          <w:lang w:eastAsia="bg-BG"/>
        </w:rPr>
        <w:t>и</w:t>
      </w:r>
      <w:r w:rsidRPr="00CC36D2">
        <w:rPr>
          <w:rFonts w:ascii="Times New Roman" w:eastAsia="Times New Roman" w:hAnsi="Times New Roman"/>
          <w:color w:val="000000"/>
          <w:sz w:val="24"/>
          <w:szCs w:val="24"/>
          <w:lang w:eastAsia="bg-BG"/>
        </w:rPr>
        <w:t xml:space="preserve">нвестиционен проект </w:t>
      </w:r>
      <w:r>
        <w:rPr>
          <w:rFonts w:ascii="Times New Roman" w:eastAsia="Times New Roman" w:hAnsi="Times New Roman"/>
          <w:color w:val="000000"/>
          <w:sz w:val="24"/>
          <w:szCs w:val="24"/>
          <w:lang w:eastAsia="bg-BG"/>
        </w:rPr>
        <w:t xml:space="preserve">по част „Архитектура“, Конструктивно становище </w:t>
      </w:r>
      <w:r w:rsidRPr="00CC36D2">
        <w:rPr>
          <w:rFonts w:ascii="Times New Roman" w:eastAsia="Times New Roman" w:hAnsi="Times New Roman"/>
          <w:color w:val="000000"/>
          <w:sz w:val="24"/>
          <w:szCs w:val="24"/>
          <w:lang w:eastAsia="bg-BG"/>
        </w:rPr>
        <w:t xml:space="preserve">и технически спецификации за </w:t>
      </w:r>
      <w:r>
        <w:rPr>
          <w:rFonts w:ascii="Times New Roman" w:eastAsia="Times New Roman" w:hAnsi="Times New Roman"/>
          <w:color w:val="000000"/>
          <w:sz w:val="24"/>
          <w:szCs w:val="24"/>
          <w:lang w:eastAsia="bg-BG"/>
        </w:rPr>
        <w:t>спортно оборудване</w:t>
      </w:r>
      <w:r w:rsidRPr="00CC36D2">
        <w:rPr>
          <w:rFonts w:ascii="Times New Roman" w:eastAsia="Times New Roman" w:hAnsi="Times New Roman"/>
          <w:color w:val="000000"/>
          <w:sz w:val="24"/>
          <w:szCs w:val="24"/>
          <w:lang w:eastAsia="bg-BG"/>
        </w:rPr>
        <w:t xml:space="preserve"> от 16 – 23</w:t>
      </w:r>
      <w:r>
        <w:rPr>
          <w:rFonts w:ascii="Times New Roman" w:eastAsia="Times New Roman" w:hAnsi="Times New Roman"/>
          <w:color w:val="000000"/>
          <w:sz w:val="24"/>
          <w:szCs w:val="24"/>
          <w:lang w:eastAsia="bg-BG"/>
        </w:rPr>
        <w:t xml:space="preserve">. </w:t>
      </w:r>
    </w:p>
    <w:p w:rsidR="007B7637" w:rsidRDefault="007B7637" w:rsidP="007B7637">
      <w:pPr>
        <w:pStyle w:val="a3"/>
        <w:tabs>
          <w:tab w:val="left" w:pos="558"/>
        </w:tabs>
        <w:ind w:left="709"/>
        <w:jc w:val="both"/>
      </w:pPr>
    </w:p>
    <w:p w:rsidR="007B7637" w:rsidRPr="007B7637" w:rsidRDefault="007B7637" w:rsidP="007B7637">
      <w:pPr>
        <w:jc w:val="center"/>
        <w:rPr>
          <w:rFonts w:ascii="Times New Roman" w:hAnsi="Times New Roman" w:cs="Times New Roman"/>
          <w:b/>
          <w:sz w:val="24"/>
          <w:szCs w:val="24"/>
        </w:rPr>
      </w:pPr>
    </w:p>
    <w:sectPr w:rsidR="007B7637" w:rsidRPr="007B7637" w:rsidSect="000E71CB">
      <w:headerReference w:type="default" r:id="rId7"/>
      <w:footerReference w:type="default" r:id="rId8"/>
      <w:pgSz w:w="11906" w:h="16838"/>
      <w:pgMar w:top="1417" w:right="1417" w:bottom="1417" w:left="1417" w:header="708" w:footer="3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31E96" w:rsidRDefault="00F31E96" w:rsidP="000E71CB">
      <w:pPr>
        <w:spacing w:after="0" w:line="240" w:lineRule="auto"/>
      </w:pPr>
      <w:r>
        <w:separator/>
      </w:r>
    </w:p>
  </w:endnote>
  <w:endnote w:type="continuationSeparator" w:id="0">
    <w:p w:rsidR="00F31E96" w:rsidRDefault="00F31E96" w:rsidP="000E7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71CB" w:rsidRPr="000E71CB" w:rsidRDefault="000E71CB" w:rsidP="000E71CB">
    <w:pPr>
      <w:spacing w:before="100" w:beforeAutospacing="1" w:after="100" w:afterAutospacing="1" w:line="259" w:lineRule="auto"/>
      <w:jc w:val="both"/>
      <w:rPr>
        <w:rFonts w:ascii="Times New Roman" w:hAnsi="Times New Roman" w:cs="Times New Roman"/>
        <w:szCs w:val="20"/>
        <w:lang w:val="x-none" w:eastAsia="x-none"/>
      </w:rPr>
    </w:pPr>
    <w:proofErr w:type="spellStart"/>
    <w:r w:rsidRPr="000E71CB">
      <w:rPr>
        <w:rFonts w:ascii="Times New Roman" w:hAnsi="Times New Roman" w:cs="Times New Roman"/>
        <w:i/>
        <w:sz w:val="20"/>
        <w:szCs w:val="20"/>
        <w:lang w:val="x-none" w:eastAsia="x-none"/>
      </w:rPr>
      <w:t>Настоящият</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документ</w:t>
    </w:r>
    <w:proofErr w:type="spellEnd"/>
    <w:r w:rsidRPr="000E71CB">
      <w:rPr>
        <w:rFonts w:ascii="Times New Roman" w:hAnsi="Times New Roman" w:cs="Times New Roman"/>
        <w:i/>
        <w:sz w:val="20"/>
        <w:szCs w:val="20"/>
        <w:lang w:val="x-none" w:eastAsia="x-none"/>
      </w:rPr>
      <w:t xml:space="preserve"> е </w:t>
    </w:r>
    <w:proofErr w:type="spellStart"/>
    <w:r w:rsidRPr="000E71CB">
      <w:rPr>
        <w:rFonts w:ascii="Times New Roman" w:hAnsi="Times New Roman" w:cs="Times New Roman"/>
        <w:i/>
        <w:sz w:val="20"/>
        <w:szCs w:val="20"/>
        <w:lang w:val="x-none" w:eastAsia="x-none"/>
      </w:rPr>
      <w:t>изготвен</w:t>
    </w:r>
    <w:proofErr w:type="spellEnd"/>
    <w:r w:rsidRPr="000E71CB">
      <w:rPr>
        <w:rFonts w:ascii="Times New Roman" w:hAnsi="Times New Roman" w:cs="Times New Roman"/>
        <w:i/>
        <w:sz w:val="20"/>
        <w:szCs w:val="20"/>
        <w:lang w:val="x-none" w:eastAsia="x-none"/>
      </w:rPr>
      <w:t xml:space="preserve"> в </w:t>
    </w:r>
    <w:proofErr w:type="spellStart"/>
    <w:r w:rsidRPr="000E71CB">
      <w:rPr>
        <w:rFonts w:ascii="Times New Roman" w:hAnsi="Times New Roman" w:cs="Times New Roman"/>
        <w:i/>
        <w:sz w:val="20"/>
        <w:szCs w:val="20"/>
        <w:lang w:val="x-none" w:eastAsia="x-none"/>
      </w:rPr>
      <w:t>рамките</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на</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проект</w:t>
    </w:r>
    <w:proofErr w:type="spellEnd"/>
    <w:r w:rsidRPr="000E71CB">
      <w:rPr>
        <w:rFonts w:ascii="Times New Roman" w:hAnsi="Times New Roman" w:cs="Times New Roman"/>
        <w:i/>
        <w:sz w:val="20"/>
        <w:szCs w:val="20"/>
        <w:lang w:val="x-none" w:eastAsia="x-none"/>
      </w:rPr>
      <w:t>:</w:t>
    </w:r>
    <w:r w:rsidRPr="000E71CB">
      <w:rPr>
        <w:rFonts w:ascii="Times New Roman" w:eastAsia="Times New Roman" w:hAnsi="Times New Roman" w:cs="Times New Roman"/>
        <w:i/>
        <w:color w:val="000000"/>
        <w:sz w:val="20"/>
        <w:szCs w:val="20"/>
        <w:lang w:eastAsia="bg-BG"/>
      </w:rPr>
      <w:t>"</w:t>
    </w:r>
    <w:proofErr w:type="spellStart"/>
    <w:r w:rsidRPr="000E71CB">
      <w:rPr>
        <w:rFonts w:ascii="Times New Roman" w:eastAsia="Times New Roman" w:hAnsi="Times New Roman" w:cs="Times New Roman"/>
        <w:i/>
        <w:color w:val="000000"/>
        <w:sz w:val="20"/>
        <w:szCs w:val="20"/>
        <w:lang w:eastAsia="bg-BG"/>
      </w:rPr>
      <w:t>Изграждане</w:t>
    </w:r>
    <w:proofErr w:type="spellEnd"/>
    <w:r w:rsidRPr="000E71CB">
      <w:rPr>
        <w:rFonts w:ascii="Times New Roman" w:eastAsia="Times New Roman" w:hAnsi="Times New Roman" w:cs="Times New Roman"/>
        <w:i/>
        <w:color w:val="000000"/>
        <w:sz w:val="20"/>
        <w:szCs w:val="20"/>
        <w:lang w:eastAsia="bg-BG"/>
      </w:rPr>
      <w:t xml:space="preserve"> и оборудване на комбинирано спортно игрище, разположено в парк „Димана Данева” в гр. Харманли"</w:t>
    </w:r>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финанасиран</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по</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договор</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за</w:t>
    </w:r>
    <w:proofErr w:type="spellEnd"/>
    <w:r w:rsidRPr="000E71CB">
      <w:rPr>
        <w:rFonts w:ascii="Times New Roman" w:hAnsi="Times New Roman" w:cs="Times New Roman"/>
        <w:i/>
        <w:sz w:val="20"/>
        <w:szCs w:val="20"/>
        <w:lang w:val="x-none" w:eastAsia="x-none"/>
      </w:rPr>
      <w:t xml:space="preserve"> БФП №</w:t>
    </w:r>
    <w:r w:rsidRPr="000E71CB">
      <w:rPr>
        <w:rFonts w:ascii="Times New Roman" w:eastAsia="Calibri" w:hAnsi="Times New Roman" w:cs="Times New Roman"/>
        <w:i/>
        <w:color w:val="000000"/>
        <w:sz w:val="20"/>
        <w:szCs w:val="20"/>
        <w:lang w:val="x-none" w:eastAsia="x-none"/>
      </w:rPr>
      <w:t xml:space="preserve"> </w:t>
    </w:r>
    <w:r w:rsidRPr="000E71CB">
      <w:rPr>
        <w:rFonts w:ascii="Times New Roman" w:eastAsia="Times New Roman" w:hAnsi="Times New Roman" w:cs="Times New Roman"/>
        <w:i/>
        <w:sz w:val="20"/>
        <w:szCs w:val="20"/>
        <w:lang w:eastAsia="bg-BG"/>
      </w:rPr>
      <w:t>BG06RDNP00 1-7.007-0109</w:t>
    </w:r>
    <w:r w:rsidRPr="000E71CB">
      <w:rPr>
        <w:rFonts w:ascii="Times New Roman" w:eastAsia="Times New Roman" w:hAnsi="Times New Roman" w:cs="Times New Roman"/>
        <w:i/>
        <w:sz w:val="20"/>
        <w:szCs w:val="20"/>
        <w:lang w:val="en-US" w:eastAsia="bg-BG"/>
      </w:rPr>
      <w:t xml:space="preserve"> </w:t>
    </w:r>
    <w:r w:rsidRPr="000E71CB">
      <w:rPr>
        <w:rFonts w:ascii="Times New Roman" w:hAnsi="Times New Roman" w:cs="Times New Roman"/>
        <w:i/>
        <w:sz w:val="20"/>
        <w:szCs w:val="20"/>
        <w:lang w:eastAsia="x-none"/>
      </w:rPr>
      <w:t xml:space="preserve">от </w:t>
    </w:r>
    <w:r w:rsidRPr="000E71CB">
      <w:rPr>
        <w:rFonts w:ascii="Times New Roman" w:hAnsi="Times New Roman" w:cs="Times New Roman"/>
        <w:i/>
        <w:sz w:val="20"/>
        <w:szCs w:val="20"/>
        <w:lang w:val="en-US" w:eastAsia="x-none"/>
      </w:rPr>
      <w:t>09</w:t>
    </w:r>
    <w:r w:rsidRPr="000E71CB">
      <w:rPr>
        <w:rFonts w:ascii="Times New Roman" w:hAnsi="Times New Roman" w:cs="Times New Roman"/>
        <w:i/>
        <w:sz w:val="20"/>
        <w:szCs w:val="20"/>
        <w:lang w:eastAsia="x-none"/>
      </w:rPr>
      <w:t>.0</w:t>
    </w:r>
    <w:r w:rsidRPr="000E71CB">
      <w:rPr>
        <w:rFonts w:ascii="Times New Roman" w:hAnsi="Times New Roman" w:cs="Times New Roman"/>
        <w:i/>
        <w:sz w:val="20"/>
        <w:szCs w:val="20"/>
        <w:lang w:val="en-US" w:eastAsia="x-none"/>
      </w:rPr>
      <w:t>5</w:t>
    </w:r>
    <w:r w:rsidRPr="000E71CB">
      <w:rPr>
        <w:rFonts w:ascii="Times New Roman" w:hAnsi="Times New Roman" w:cs="Times New Roman"/>
        <w:i/>
        <w:sz w:val="20"/>
        <w:szCs w:val="20"/>
        <w:lang w:eastAsia="x-none"/>
      </w:rPr>
      <w:t>.20</w:t>
    </w:r>
    <w:r w:rsidRPr="000E71CB">
      <w:rPr>
        <w:rFonts w:ascii="Times New Roman" w:hAnsi="Times New Roman" w:cs="Times New Roman"/>
        <w:i/>
        <w:sz w:val="20"/>
        <w:szCs w:val="20"/>
        <w:lang w:val="en-US" w:eastAsia="x-none"/>
      </w:rPr>
      <w:t>19</w:t>
    </w:r>
    <w:r w:rsidRPr="000E71CB">
      <w:rPr>
        <w:rFonts w:ascii="Times New Roman" w:hAnsi="Times New Roman" w:cs="Times New Roman"/>
        <w:i/>
        <w:sz w:val="20"/>
        <w:szCs w:val="20"/>
        <w:lang w:eastAsia="x-none"/>
      </w:rPr>
      <w:t>г.</w:t>
    </w:r>
    <w:r w:rsidRPr="000E71CB">
      <w:rPr>
        <w:rFonts w:ascii="Times New Roman" w:hAnsi="Times New Roman" w:cs="Times New Roman"/>
        <w:i/>
        <w:sz w:val="20"/>
        <w:szCs w:val="20"/>
        <w:lang w:val="en-US" w:eastAsia="x-none"/>
      </w:rPr>
      <w:t xml:space="preserve"> </w:t>
    </w:r>
    <w:proofErr w:type="spellStart"/>
    <w:r w:rsidRPr="000E71CB">
      <w:rPr>
        <w:rFonts w:ascii="Times New Roman" w:hAnsi="Times New Roman" w:cs="Times New Roman"/>
        <w:i/>
        <w:sz w:val="20"/>
        <w:szCs w:val="20"/>
        <w:lang w:val="x-none" w:eastAsia="x-none"/>
      </w:rPr>
      <w:t>по</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Програма</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за</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развитие</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на</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селските</w:t>
    </w:r>
    <w:proofErr w:type="spellEnd"/>
    <w:r w:rsidRPr="000E71CB">
      <w:rPr>
        <w:rFonts w:ascii="Times New Roman" w:hAnsi="Times New Roman" w:cs="Times New Roman"/>
        <w:i/>
        <w:sz w:val="20"/>
        <w:szCs w:val="20"/>
        <w:lang w:val="x-none" w:eastAsia="x-none"/>
      </w:rPr>
      <w:t xml:space="preserve"> </w:t>
    </w:r>
    <w:proofErr w:type="spellStart"/>
    <w:r w:rsidRPr="000E71CB">
      <w:rPr>
        <w:rFonts w:ascii="Times New Roman" w:hAnsi="Times New Roman" w:cs="Times New Roman"/>
        <w:i/>
        <w:sz w:val="20"/>
        <w:szCs w:val="20"/>
        <w:lang w:val="x-none" w:eastAsia="x-none"/>
      </w:rPr>
      <w:t>райони</w:t>
    </w:r>
    <w:proofErr w:type="spellEnd"/>
    <w:r w:rsidRPr="000E71CB">
      <w:rPr>
        <w:rFonts w:ascii="Times New Roman" w:hAnsi="Times New Roman" w:cs="Times New Roman"/>
        <w:i/>
        <w:sz w:val="20"/>
        <w:szCs w:val="20"/>
        <w:lang w:val="x-none" w:eastAsia="x-none"/>
      </w:rPr>
      <w:t xml:space="preserve"> 2014 –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31E96" w:rsidRDefault="00F31E96" w:rsidP="000E71CB">
      <w:pPr>
        <w:spacing w:after="0" w:line="240" w:lineRule="auto"/>
      </w:pPr>
      <w:r>
        <w:separator/>
      </w:r>
    </w:p>
  </w:footnote>
  <w:footnote w:type="continuationSeparator" w:id="0">
    <w:p w:rsidR="00F31E96" w:rsidRDefault="00F31E96" w:rsidP="000E7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3042"/>
      <w:gridCol w:w="6246"/>
    </w:tblGrid>
    <w:tr w:rsidR="000E71CB" w:rsidRPr="00025B74" w:rsidTr="00F2486D">
      <w:tc>
        <w:tcPr>
          <w:tcW w:w="3385" w:type="dxa"/>
        </w:tcPr>
        <w:p w:rsidR="000E71CB" w:rsidRPr="00025B74" w:rsidRDefault="000E71CB" w:rsidP="000E71CB">
          <w:pPr>
            <w:tabs>
              <w:tab w:val="center" w:pos="4536"/>
              <w:tab w:val="right" w:pos="9072"/>
            </w:tabs>
            <w:rPr>
              <w:rFonts w:ascii="Calibri" w:eastAsia="Times New Roman" w:hAnsi="Calibri"/>
            </w:rPr>
          </w:pPr>
          <w:bookmarkStart w:id="1" w:name="_Hlk6835302"/>
          <w:r w:rsidRPr="00025B74">
            <w:rPr>
              <w:rFonts w:ascii="Calibri" w:eastAsia="Times New Roman" w:hAnsi="Calibri"/>
              <w:noProof/>
              <w:lang w:eastAsia="bg-BG"/>
            </w:rPr>
            <w:drawing>
              <wp:inline distT="0" distB="0" distL="0" distR="0">
                <wp:extent cx="1115785" cy="1001301"/>
                <wp:effectExtent l="0" t="0" r="8255" b="8890"/>
                <wp:docPr id="9" name="Картина 9" descr="2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075" cy="1009638"/>
                        </a:xfrm>
                        <a:prstGeom prst="rect">
                          <a:avLst/>
                        </a:prstGeom>
                        <a:noFill/>
                        <a:ln>
                          <a:noFill/>
                        </a:ln>
                      </pic:spPr>
                    </pic:pic>
                  </a:graphicData>
                </a:graphic>
              </wp:inline>
            </w:drawing>
          </w:r>
        </w:p>
      </w:tc>
      <w:tc>
        <w:tcPr>
          <w:tcW w:w="6470" w:type="dxa"/>
        </w:tcPr>
        <w:p w:rsidR="000E71CB" w:rsidRPr="00025B74" w:rsidRDefault="000E71CB" w:rsidP="000E71CB">
          <w:pPr>
            <w:tabs>
              <w:tab w:val="center" w:pos="4536"/>
              <w:tab w:val="right" w:pos="9072"/>
            </w:tabs>
            <w:rPr>
              <w:rFonts w:ascii="Calibri" w:eastAsia="Times New Roman" w:hAnsi="Calibri"/>
            </w:rPr>
          </w:pPr>
          <w:r w:rsidRPr="00025B74">
            <w:rPr>
              <w:rFonts w:ascii="Calibri" w:eastAsia="Times New Roman" w:hAnsi="Calibri"/>
              <w:noProof/>
              <w:lang w:eastAsia="bg-BG"/>
            </w:rPr>
            <w:drawing>
              <wp:inline distT="0" distB="0" distL="0" distR="0">
                <wp:extent cx="3390810" cy="887127"/>
                <wp:effectExtent l="0" t="0" r="635" b="8255"/>
                <wp:docPr id="10" name="Картина 10" descr="3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26029" cy="896341"/>
                        </a:xfrm>
                        <a:prstGeom prst="rect">
                          <a:avLst/>
                        </a:prstGeom>
                        <a:noFill/>
                        <a:ln>
                          <a:noFill/>
                        </a:ln>
                      </pic:spPr>
                    </pic:pic>
                  </a:graphicData>
                </a:graphic>
              </wp:inline>
            </w:drawing>
          </w:r>
        </w:p>
      </w:tc>
    </w:tr>
    <w:bookmarkEnd w:id="1"/>
  </w:tbl>
  <w:p w:rsidR="000E71CB" w:rsidRDefault="000E71CB" w:rsidP="000E71C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07692F"/>
    <w:multiLevelType w:val="multilevel"/>
    <w:tmpl w:val="D85263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772F0A30"/>
    <w:multiLevelType w:val="hybridMultilevel"/>
    <w:tmpl w:val="A3B049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104B"/>
    <w:rsid w:val="000E71CB"/>
    <w:rsid w:val="0015104B"/>
    <w:rsid w:val="007B7637"/>
    <w:rsid w:val="00A065F6"/>
    <w:rsid w:val="00A354A1"/>
    <w:rsid w:val="00B058DE"/>
    <w:rsid w:val="00B35731"/>
    <w:rsid w:val="00E51E05"/>
    <w:rsid w:val="00F31E96"/>
    <w:rsid w:val="00FA6DA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ACF303"/>
  <w15:docId w15:val="{18F78122-FE13-4457-B00F-FA92DD517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ПАРАГРАФ"/>
    <w:basedOn w:val="a"/>
    <w:link w:val="a4"/>
    <w:uiPriority w:val="34"/>
    <w:qFormat/>
    <w:rsid w:val="007B7637"/>
    <w:pPr>
      <w:spacing w:after="0" w:line="240" w:lineRule="auto"/>
      <w:ind w:left="720"/>
      <w:contextualSpacing/>
    </w:pPr>
    <w:rPr>
      <w:rFonts w:ascii="Times New Roman" w:eastAsia="Times New Roman" w:hAnsi="Times New Roman" w:cs="Times New Roman"/>
      <w:sz w:val="24"/>
      <w:szCs w:val="24"/>
      <w:lang w:val="en-GB"/>
    </w:rPr>
  </w:style>
  <w:style w:type="character" w:customStyle="1" w:styleId="a4">
    <w:name w:val="Списък на абзаци Знак"/>
    <w:aliases w:val="ПАРАГРАФ Знак"/>
    <w:link w:val="a3"/>
    <w:uiPriority w:val="34"/>
    <w:locked/>
    <w:rsid w:val="007B7637"/>
    <w:rPr>
      <w:rFonts w:ascii="Times New Roman" w:eastAsia="Times New Roman" w:hAnsi="Times New Roman" w:cs="Times New Roman"/>
      <w:sz w:val="24"/>
      <w:szCs w:val="24"/>
      <w:lang w:val="en-GB"/>
    </w:rPr>
  </w:style>
  <w:style w:type="paragraph" w:customStyle="1" w:styleId="11">
    <w:name w:val="Заглавие 11"/>
    <w:basedOn w:val="a"/>
    <w:uiPriority w:val="1"/>
    <w:qFormat/>
    <w:rsid w:val="007B7637"/>
    <w:pPr>
      <w:widowControl w:val="0"/>
      <w:autoSpaceDE w:val="0"/>
      <w:autoSpaceDN w:val="0"/>
      <w:spacing w:before="222" w:after="0" w:line="240" w:lineRule="auto"/>
      <w:ind w:left="112" w:right="112"/>
      <w:jc w:val="both"/>
      <w:outlineLvl w:val="1"/>
    </w:pPr>
    <w:rPr>
      <w:rFonts w:ascii="Times New Roman" w:eastAsia="Times New Roman" w:hAnsi="Times New Roman" w:cs="Times New Roman"/>
      <w:b/>
      <w:bCs/>
      <w:sz w:val="24"/>
      <w:szCs w:val="24"/>
      <w:lang w:eastAsia="bg-BG" w:bidi="bg-BG"/>
    </w:rPr>
  </w:style>
  <w:style w:type="paragraph" w:styleId="a5">
    <w:name w:val="header"/>
    <w:basedOn w:val="a"/>
    <w:link w:val="a6"/>
    <w:uiPriority w:val="99"/>
    <w:unhideWhenUsed/>
    <w:rsid w:val="000E71CB"/>
    <w:pPr>
      <w:tabs>
        <w:tab w:val="center" w:pos="4680"/>
        <w:tab w:val="right" w:pos="9360"/>
      </w:tabs>
      <w:spacing w:after="0" w:line="240" w:lineRule="auto"/>
    </w:pPr>
  </w:style>
  <w:style w:type="character" w:customStyle="1" w:styleId="a6">
    <w:name w:val="Горен колонтитул Знак"/>
    <w:basedOn w:val="a0"/>
    <w:link w:val="a5"/>
    <w:uiPriority w:val="99"/>
    <w:rsid w:val="000E71CB"/>
  </w:style>
  <w:style w:type="paragraph" w:styleId="a7">
    <w:name w:val="footer"/>
    <w:basedOn w:val="a"/>
    <w:link w:val="a8"/>
    <w:uiPriority w:val="99"/>
    <w:unhideWhenUsed/>
    <w:rsid w:val="000E71CB"/>
    <w:pPr>
      <w:tabs>
        <w:tab w:val="center" w:pos="4680"/>
        <w:tab w:val="right" w:pos="9360"/>
      </w:tabs>
      <w:spacing w:after="0" w:line="240" w:lineRule="auto"/>
    </w:pPr>
  </w:style>
  <w:style w:type="character" w:customStyle="1" w:styleId="a8">
    <w:name w:val="Долен колонтитул Знак"/>
    <w:basedOn w:val="a0"/>
    <w:link w:val="a7"/>
    <w:uiPriority w:val="99"/>
    <w:rsid w:val="000E71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1447</Words>
  <Characters>8254</Characters>
  <Application>Microsoft Office Word</Application>
  <DocSecurity>0</DocSecurity>
  <Lines>68</Lines>
  <Paragraphs>19</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9682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Tanya</dc:creator>
  <cp:keywords/>
  <dc:description/>
  <cp:lastModifiedBy>Alexander Ivanov</cp:lastModifiedBy>
  <cp:revision>6</cp:revision>
  <dcterms:created xsi:type="dcterms:W3CDTF">2019-07-30T08:24:00Z</dcterms:created>
  <dcterms:modified xsi:type="dcterms:W3CDTF">2019-08-05T14:34:00Z</dcterms:modified>
</cp:coreProperties>
</file>